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4D21A8" w:rsidRPr="004D21A8" w:rsidP="004D21A8" w14:paraId="32975FD2" w14:textId="5B6A2A87">
      <w:pPr>
        <w:pStyle w:val="H1NoNumb"/>
        <w:jc w:val="center"/>
      </w:pPr>
      <w:bookmarkStart w:id="0" w:name="_Toc304199309"/>
      <w:r>
        <w:br/>
      </w:r>
      <w:r>
        <w:br/>
      </w:r>
      <w:r>
        <w:br/>
      </w:r>
      <w:r w:rsidRPr="004D21A8">
        <w:t xml:space="preserve">Meeting of the </w:t>
      </w:r>
      <w:r w:rsidR="008C1D0B">
        <w:t>Cabinet</w:t>
      </w:r>
      <w:r w:rsidRPr="004D21A8" w:rsidR="008C1D0B">
        <w:t xml:space="preserve"> </w:t>
      </w:r>
      <w:r w:rsidRPr="004D21A8">
        <w:br/>
      </w:r>
      <w:r w:rsidR="008C1D0B">
        <w:t>(</w:t>
      </w:r>
      <w:r w:rsidR="007B3B21">
        <w:t>8 June</w:t>
      </w:r>
      <w:r w:rsidR="00A86A6C">
        <w:t xml:space="preserve"> 2023</w:t>
      </w:r>
      <w:r w:rsidR="008C1D0B">
        <w:t>)</w:t>
      </w:r>
      <w:bookmarkEnd w:id="0"/>
    </w:p>
    <w:p w:rsidR="00C756A1" w:rsidP="00844118" w14:paraId="7443D49A" w14:textId="77777777">
      <w:pPr>
        <w:rPr>
          <w:b/>
          <w:szCs w:val="22"/>
        </w:rPr>
      </w:pPr>
    </w:p>
    <w:p w:rsidR="004D21A8" w:rsidP="004D21A8" w14:paraId="69400590" w14:textId="77777777">
      <w:pPr>
        <w:pStyle w:val="BodyText"/>
        <w:jc w:val="center"/>
      </w:pPr>
      <w:r w:rsidRPr="00D50DF0">
        <w:rPr>
          <w:b/>
        </w:rPr>
        <w:t>Chair:</w:t>
      </w:r>
      <w:r>
        <w:t xml:space="preserve"> </w:t>
      </w:r>
      <w:r w:rsidR="008C1D0B">
        <w:t>County Councillor</w:t>
      </w:r>
      <w:r w:rsidR="000C27CF">
        <w:t xml:space="preserve"> </w:t>
      </w:r>
      <w:r w:rsidR="00A86A6C">
        <w:t>Phillippa Williamson</w:t>
      </w:r>
    </w:p>
    <w:p w:rsidR="004D21A8" w:rsidP="004D21A8" w14:paraId="58225BA0" w14:textId="77777777">
      <w:pPr>
        <w:pStyle w:val="BodyText"/>
      </w:pPr>
    </w:p>
    <w:p w:rsidR="004D21A8" w:rsidP="004D21A8" w14:paraId="3921DBB2" w14:textId="77777777">
      <w:pPr>
        <w:pStyle w:val="H2NoNumb"/>
        <w:spacing w:before="0"/>
      </w:pPr>
      <w:r>
        <w:t>Part I (Open to Press and Public)</w:t>
      </w:r>
    </w:p>
    <w:p w:rsidR="000C3D9E" w:rsidP="00DC258C" w14:paraId="2463A3C1" w14:textId="77777777">
      <w:pPr>
        <w:pStyle w:val="BodyText"/>
      </w:pPr>
    </w:p>
    <w:p w:rsidR="00DC258C" w:rsidRPr="000C3D9E" w:rsidP="00305CB4" w14:paraId="60CF8527" w14:textId="05A4F550">
      <w:pPr>
        <w:pStyle w:val="BodyText"/>
        <w:jc w:val="both"/>
        <w:rPr>
          <w:b/>
          <w:bCs w:val="0"/>
        </w:rPr>
      </w:pPr>
      <w:r w:rsidRPr="000C3D9E">
        <w:rPr>
          <w:b/>
          <w:bCs w:val="0"/>
        </w:rPr>
        <w:t>Corporate Performance Report – 2022/23 Quarter 4</w:t>
      </w:r>
    </w:p>
    <w:p w:rsidR="00DC258C" w:rsidP="00305CB4" w14:paraId="1434233B" w14:textId="77777777">
      <w:pPr>
        <w:pStyle w:val="BodyText"/>
        <w:jc w:val="both"/>
      </w:pPr>
    </w:p>
    <w:p w:rsidR="00DC258C" w:rsidP="00305CB4" w14:paraId="2F383DCA" w14:textId="77777777">
      <w:pPr>
        <w:pStyle w:val="BodyText"/>
        <w:jc w:val="both"/>
      </w:pPr>
      <w:r>
        <w:t>Cabinet considered a report providing an overview of the key performance indicators as well as corporate risks and opportunities to enable monitoring against the four priorities of the corporate strategy:</w:t>
      </w:r>
    </w:p>
    <w:p w:rsidR="00DC258C" w:rsidP="00305CB4" w14:paraId="1BA7406F" w14:textId="77777777">
      <w:pPr>
        <w:pStyle w:val="BodyText"/>
        <w:jc w:val="both"/>
      </w:pPr>
    </w:p>
    <w:p w:rsidR="00DC258C" w:rsidP="00305CB4" w14:paraId="7A5F91D3" w14:textId="537CD0F0">
      <w:pPr>
        <w:pStyle w:val="BodyText"/>
        <w:numPr>
          <w:ilvl w:val="0"/>
          <w:numId w:val="34"/>
        </w:numPr>
        <w:jc w:val="both"/>
      </w:pPr>
      <w:r>
        <w:t>Delivering better services</w:t>
      </w:r>
    </w:p>
    <w:p w:rsidR="00DC258C" w:rsidP="00305CB4" w14:paraId="3F6A5200" w14:textId="23076C93">
      <w:pPr>
        <w:pStyle w:val="BodyText"/>
        <w:numPr>
          <w:ilvl w:val="0"/>
          <w:numId w:val="34"/>
        </w:numPr>
        <w:jc w:val="both"/>
      </w:pPr>
      <w:r>
        <w:t>Protecting our environment</w:t>
      </w:r>
    </w:p>
    <w:p w:rsidR="00DC258C" w:rsidP="00305CB4" w14:paraId="6CD897B3" w14:textId="6EDD166C">
      <w:pPr>
        <w:pStyle w:val="BodyText"/>
        <w:numPr>
          <w:ilvl w:val="0"/>
          <w:numId w:val="34"/>
        </w:numPr>
        <w:jc w:val="both"/>
      </w:pPr>
      <w:r>
        <w:t>Supporting economic growth</w:t>
      </w:r>
    </w:p>
    <w:p w:rsidR="00DC258C" w:rsidP="00305CB4" w14:paraId="4C4095BA" w14:textId="32B210F7">
      <w:pPr>
        <w:pStyle w:val="BodyText"/>
        <w:numPr>
          <w:ilvl w:val="0"/>
          <w:numId w:val="34"/>
        </w:numPr>
        <w:jc w:val="both"/>
      </w:pPr>
      <w:r>
        <w:t>Caring for the vulnerable</w:t>
      </w:r>
    </w:p>
    <w:p w:rsidR="00DC258C" w:rsidP="00305CB4" w14:paraId="64BCE965" w14:textId="77777777">
      <w:pPr>
        <w:pStyle w:val="BodyText"/>
        <w:jc w:val="both"/>
      </w:pPr>
    </w:p>
    <w:p w:rsidR="00DC258C" w:rsidP="00305CB4" w14:paraId="3E52A5F4" w14:textId="77777777">
      <w:pPr>
        <w:pStyle w:val="BodyText"/>
        <w:jc w:val="both"/>
      </w:pPr>
      <w:r>
        <w:t>This report covered quarter 4 for 2022/23.</w:t>
      </w:r>
    </w:p>
    <w:p w:rsidR="00DC258C" w:rsidP="00305CB4" w14:paraId="03B54874" w14:textId="77777777">
      <w:pPr>
        <w:pStyle w:val="BodyText"/>
        <w:jc w:val="both"/>
      </w:pPr>
    </w:p>
    <w:p w:rsidR="00DC258C" w:rsidP="00305CB4" w14:paraId="5CA93034" w14:textId="77777777">
      <w:pPr>
        <w:pStyle w:val="BodyText"/>
        <w:jc w:val="both"/>
      </w:pPr>
      <w:r w:rsidRPr="000C3D9E">
        <w:rPr>
          <w:b/>
          <w:bCs w:val="0"/>
        </w:rPr>
        <w:t>Resolved:</w:t>
      </w:r>
      <w:r>
        <w:t xml:space="preserve"> That, following consideration of the report and the additional information set out in Appendices 'A' to 'D', the report be noted.</w:t>
      </w:r>
    </w:p>
    <w:p w:rsidR="00DC258C" w:rsidP="00305CB4" w14:paraId="61AB1F38" w14:textId="77777777">
      <w:pPr>
        <w:pStyle w:val="BodyText"/>
        <w:jc w:val="both"/>
      </w:pPr>
    </w:p>
    <w:p w:rsidR="00DC258C" w:rsidRPr="000C3D9E" w:rsidP="00305CB4" w14:paraId="7CD9897F" w14:textId="46EBCFD8">
      <w:pPr>
        <w:pStyle w:val="BodyText"/>
        <w:jc w:val="both"/>
        <w:rPr>
          <w:b/>
          <w:bCs w:val="0"/>
        </w:rPr>
      </w:pPr>
      <w:r w:rsidRPr="000C3D9E">
        <w:rPr>
          <w:b/>
          <w:bCs w:val="0"/>
        </w:rPr>
        <w:t>Procurement Report</w:t>
      </w:r>
    </w:p>
    <w:p w:rsidR="00DC258C" w:rsidP="00305CB4" w14:paraId="407CCB64" w14:textId="77777777">
      <w:pPr>
        <w:pStyle w:val="BodyText"/>
        <w:jc w:val="both"/>
      </w:pPr>
    </w:p>
    <w:p w:rsidR="00DC258C" w:rsidP="00305CB4" w14:paraId="0E9397B8" w14:textId="77777777">
      <w:pPr>
        <w:pStyle w:val="BodyText"/>
        <w:jc w:val="both"/>
      </w:pPr>
      <w:r>
        <w:t>Cabinet considered a report seeking approval to commence the following procurement exercises in accordance with the county council's procurement rules:</w:t>
      </w:r>
    </w:p>
    <w:p w:rsidR="00DC258C" w:rsidP="00305CB4" w14:paraId="4F301FE5" w14:textId="77777777">
      <w:pPr>
        <w:pStyle w:val="BodyText"/>
        <w:jc w:val="both"/>
      </w:pPr>
    </w:p>
    <w:p w:rsidR="00DC258C" w:rsidP="00305CB4" w14:paraId="04447AEC" w14:textId="65BB45AD">
      <w:pPr>
        <w:pStyle w:val="BodyText"/>
        <w:numPr>
          <w:ilvl w:val="0"/>
          <w:numId w:val="42"/>
        </w:numPr>
        <w:jc w:val="both"/>
      </w:pPr>
      <w:r>
        <w:t>Lancashire Infant Feeding, Breastfeeding Peer Support Service</w:t>
      </w:r>
    </w:p>
    <w:p w:rsidR="00DC258C" w:rsidP="00305CB4" w14:paraId="522C6455" w14:textId="1737E54A">
      <w:pPr>
        <w:pStyle w:val="BodyText"/>
        <w:numPr>
          <w:ilvl w:val="0"/>
          <w:numId w:val="42"/>
        </w:numPr>
        <w:jc w:val="both"/>
      </w:pPr>
      <w:r>
        <w:t>Provision of Complex Needs Supported Housing</w:t>
      </w:r>
    </w:p>
    <w:p w:rsidR="00DC258C" w:rsidP="00305CB4" w14:paraId="0C11FE5A" w14:textId="56640E8A">
      <w:pPr>
        <w:pStyle w:val="BodyText"/>
        <w:numPr>
          <w:ilvl w:val="0"/>
          <w:numId w:val="42"/>
        </w:numPr>
        <w:jc w:val="both"/>
      </w:pPr>
      <w:r>
        <w:t>Children and Young People Community Substance Use Treatment Service</w:t>
      </w:r>
    </w:p>
    <w:p w:rsidR="00DC258C" w:rsidP="00305CB4" w14:paraId="295784A2" w14:textId="578EA8FC">
      <w:pPr>
        <w:pStyle w:val="BodyText"/>
        <w:numPr>
          <w:ilvl w:val="0"/>
          <w:numId w:val="42"/>
        </w:numPr>
        <w:jc w:val="both"/>
      </w:pPr>
      <w:r>
        <w:t>0-19 Years Public Health Nursing Service</w:t>
      </w:r>
    </w:p>
    <w:p w:rsidR="00DC258C" w:rsidP="00305CB4" w14:paraId="1D880EB3" w14:textId="16F5B81F">
      <w:pPr>
        <w:pStyle w:val="BodyText"/>
        <w:numPr>
          <w:ilvl w:val="0"/>
          <w:numId w:val="42"/>
        </w:numPr>
        <w:jc w:val="both"/>
      </w:pPr>
      <w:r>
        <w:t>Boost (5) Business Support programme</w:t>
      </w:r>
    </w:p>
    <w:p w:rsidR="00DC258C" w:rsidP="00305CB4" w14:paraId="07A8A653" w14:textId="77777777">
      <w:pPr>
        <w:pStyle w:val="BodyText"/>
        <w:jc w:val="both"/>
      </w:pPr>
    </w:p>
    <w:p w:rsidR="00DC258C" w:rsidP="00305CB4" w14:paraId="6C016197" w14:textId="77777777">
      <w:pPr>
        <w:pStyle w:val="BodyText"/>
        <w:jc w:val="both"/>
      </w:pPr>
      <w:r w:rsidRPr="00F32611">
        <w:rPr>
          <w:b/>
          <w:bCs w:val="0"/>
        </w:rPr>
        <w:t>Resolved:</w:t>
      </w:r>
      <w:r>
        <w:t xml:space="preserve"> That the commencement of procurement exercises for the following be approved:</w:t>
      </w:r>
    </w:p>
    <w:p w:rsidR="00DC258C" w:rsidP="00305CB4" w14:paraId="0C09DAD7" w14:textId="77777777">
      <w:pPr>
        <w:pStyle w:val="BodyText"/>
        <w:jc w:val="both"/>
      </w:pPr>
    </w:p>
    <w:p w:rsidR="00DC258C" w:rsidP="00305CB4" w14:paraId="711D1CAE" w14:textId="0CF712A3">
      <w:pPr>
        <w:pStyle w:val="BodyText"/>
        <w:numPr>
          <w:ilvl w:val="0"/>
          <w:numId w:val="41"/>
        </w:numPr>
        <w:jc w:val="both"/>
      </w:pPr>
      <w:r>
        <w:t>Lancashire Infant Feeding, Breastfeeding Peer Support Service</w:t>
      </w:r>
    </w:p>
    <w:p w:rsidR="00DC258C" w:rsidP="00305CB4" w14:paraId="04E2305B" w14:textId="6A5A50F8">
      <w:pPr>
        <w:pStyle w:val="BodyText"/>
        <w:numPr>
          <w:ilvl w:val="0"/>
          <w:numId w:val="41"/>
        </w:numPr>
        <w:jc w:val="both"/>
      </w:pPr>
      <w:r>
        <w:t>Provision of Complex Needs Supported Housing</w:t>
      </w:r>
    </w:p>
    <w:p w:rsidR="00DC258C" w:rsidP="00305CB4" w14:paraId="7465D152" w14:textId="25E126D1">
      <w:pPr>
        <w:pStyle w:val="BodyText"/>
        <w:numPr>
          <w:ilvl w:val="0"/>
          <w:numId w:val="41"/>
        </w:numPr>
        <w:jc w:val="both"/>
      </w:pPr>
      <w:r>
        <w:t>Children and Young People Community Substance Use Treatment Service</w:t>
      </w:r>
    </w:p>
    <w:p w:rsidR="00DC258C" w:rsidP="00305CB4" w14:paraId="011C34D3" w14:textId="499AE8E8">
      <w:pPr>
        <w:pStyle w:val="BodyText"/>
        <w:numPr>
          <w:ilvl w:val="0"/>
          <w:numId w:val="41"/>
        </w:numPr>
        <w:jc w:val="both"/>
      </w:pPr>
      <w:r>
        <w:t>0-19 Years Public Health Nursing Service</w:t>
      </w:r>
    </w:p>
    <w:p w:rsidR="00DC258C" w:rsidP="00305CB4" w14:paraId="322323D9" w14:textId="56E5E2F9">
      <w:pPr>
        <w:pStyle w:val="BodyText"/>
        <w:numPr>
          <w:ilvl w:val="0"/>
          <w:numId w:val="41"/>
        </w:numPr>
        <w:jc w:val="both"/>
      </w:pPr>
      <w:r>
        <w:t>Boost (5) Business Support programme</w:t>
      </w:r>
    </w:p>
    <w:p w:rsidR="00DC258C" w:rsidRPr="00F32611" w:rsidP="00305CB4" w14:paraId="1EF287F7" w14:textId="4642EA7E">
      <w:pPr>
        <w:pStyle w:val="BodyText"/>
        <w:jc w:val="both"/>
        <w:rPr>
          <w:b/>
          <w:bCs w:val="0"/>
        </w:rPr>
      </w:pPr>
      <w:r w:rsidRPr="00F32611">
        <w:rPr>
          <w:b/>
          <w:bCs w:val="0"/>
        </w:rPr>
        <w:t xml:space="preserve">Highway Maintenance Capital Programme – Recycled Materials from </w:t>
      </w:r>
      <w:r w:rsidRPr="00F32611">
        <w:rPr>
          <w:b/>
          <w:bCs w:val="0"/>
        </w:rPr>
        <w:t>Samlesbury</w:t>
      </w:r>
      <w:r w:rsidRPr="00F32611">
        <w:rPr>
          <w:b/>
          <w:bCs w:val="0"/>
        </w:rPr>
        <w:t xml:space="preserve"> Enterprise Zone</w:t>
      </w:r>
    </w:p>
    <w:p w:rsidR="00DC258C" w:rsidP="00305CB4" w14:paraId="5956DCEB" w14:textId="77777777">
      <w:pPr>
        <w:pStyle w:val="BodyText"/>
        <w:jc w:val="both"/>
      </w:pPr>
    </w:p>
    <w:p w:rsidR="00DC258C" w:rsidP="00305CB4" w14:paraId="7465FED1" w14:textId="77777777">
      <w:pPr>
        <w:pStyle w:val="BodyText"/>
        <w:jc w:val="both"/>
      </w:pPr>
      <w:r>
        <w:t xml:space="preserve">Cabinet considered a report that provided an update on the proposals in relation to the additional highways funding and opportunity to use recycled materials arising from the redevelopment of the </w:t>
      </w:r>
      <w:r>
        <w:t>Samlesbury</w:t>
      </w:r>
      <w:r>
        <w:t xml:space="preserve"> Enterprise Zone site, following the reports to Cabinet in March and May 2023.</w:t>
      </w:r>
    </w:p>
    <w:p w:rsidR="00DC258C" w:rsidP="00305CB4" w14:paraId="07ED9F8D" w14:textId="77777777">
      <w:pPr>
        <w:pStyle w:val="BodyText"/>
        <w:jc w:val="both"/>
      </w:pPr>
    </w:p>
    <w:p w:rsidR="00DC258C" w:rsidP="00305CB4" w14:paraId="420E8F02" w14:textId="77777777">
      <w:pPr>
        <w:pStyle w:val="BodyText"/>
        <w:jc w:val="both"/>
      </w:pPr>
      <w:r w:rsidRPr="00F32611">
        <w:rPr>
          <w:b/>
          <w:bCs w:val="0"/>
        </w:rPr>
        <w:t>Resolved:</w:t>
      </w:r>
      <w:r>
        <w:t xml:space="preserve"> That</w:t>
      </w:r>
    </w:p>
    <w:p w:rsidR="00DC258C" w:rsidP="00305CB4" w14:paraId="43910EB3" w14:textId="77777777">
      <w:pPr>
        <w:pStyle w:val="BodyText"/>
        <w:jc w:val="both"/>
      </w:pPr>
    </w:p>
    <w:p w:rsidR="00DC258C" w:rsidP="00305CB4" w14:paraId="2EEDD41A" w14:textId="11A61D45">
      <w:pPr>
        <w:pStyle w:val="BodyText"/>
        <w:numPr>
          <w:ilvl w:val="0"/>
          <w:numId w:val="44"/>
        </w:numPr>
        <w:jc w:val="both"/>
      </w:pPr>
      <w:r>
        <w:t xml:space="preserve">The revised approach set out in the report be approved, and it be noted that this may mean changes to the programme previously </w:t>
      </w:r>
      <w:r>
        <w:t>agreed;</w:t>
      </w:r>
    </w:p>
    <w:p w:rsidR="00DC258C" w:rsidP="00305CB4" w14:paraId="74EEB293" w14:textId="5A0B093B">
      <w:pPr>
        <w:pStyle w:val="BodyText"/>
        <w:numPr>
          <w:ilvl w:val="0"/>
          <w:numId w:val="44"/>
        </w:numPr>
        <w:jc w:val="both"/>
      </w:pPr>
      <w:r>
        <w:t>The Executive Director for Growth, Environment and Transport be authorised, in consultation with the Cabinet Member for Highways and Transport, to agree which schemes will go forward in the overall programme; and</w:t>
      </w:r>
    </w:p>
    <w:p w:rsidR="00DC258C" w:rsidP="00305CB4" w14:paraId="04459609" w14:textId="746E0900">
      <w:pPr>
        <w:pStyle w:val="BodyText"/>
        <w:numPr>
          <w:ilvl w:val="0"/>
          <w:numId w:val="44"/>
        </w:numPr>
        <w:jc w:val="both"/>
      </w:pPr>
      <w:r>
        <w:t xml:space="preserve">Any residual material be incorporated into the road base for the M55 to </w:t>
      </w:r>
      <w:r>
        <w:t>Heyhouses</w:t>
      </w:r>
      <w:r>
        <w:t xml:space="preserve"> Link Road, where it was cost effective to do so.</w:t>
      </w:r>
    </w:p>
    <w:p w:rsidR="00DC258C" w:rsidP="00305CB4" w14:paraId="7C9988A5" w14:textId="77777777">
      <w:pPr>
        <w:pStyle w:val="BodyText"/>
        <w:jc w:val="both"/>
      </w:pPr>
    </w:p>
    <w:p w:rsidR="00DC258C" w:rsidRPr="00F32611" w:rsidP="00305CB4" w14:paraId="291C16AE" w14:textId="3C5C4CC5">
      <w:pPr>
        <w:pStyle w:val="BodyText"/>
        <w:jc w:val="both"/>
        <w:rPr>
          <w:b/>
          <w:bCs w:val="0"/>
        </w:rPr>
      </w:pPr>
      <w:r w:rsidRPr="00F32611">
        <w:rPr>
          <w:b/>
          <w:bCs w:val="0"/>
        </w:rPr>
        <w:t>Lancashire County Council (Various Roads, Singleton Area, Fylde Borough) (Revocation, 20mph and 30mph Speed Limits) Order 202*</w:t>
      </w:r>
    </w:p>
    <w:p w:rsidR="00DC258C" w:rsidP="00305CB4" w14:paraId="359EEB0D" w14:textId="77777777">
      <w:pPr>
        <w:pStyle w:val="BodyText"/>
        <w:jc w:val="both"/>
      </w:pPr>
    </w:p>
    <w:p w:rsidR="00DC258C" w:rsidP="00305CB4" w14:paraId="2CAC2365" w14:textId="77777777">
      <w:pPr>
        <w:pStyle w:val="BodyText"/>
        <w:jc w:val="both"/>
      </w:pPr>
      <w:r>
        <w:t>Cabinet considered a report that proposed to make a Speed Limit Order to formalise the current on-site speed limit signage where, due to administrative difficulties, an Order was not sealed within the legal 2-year time frame after being originally approved at Cabinet on 8 September 2016.</w:t>
      </w:r>
    </w:p>
    <w:p w:rsidR="00DC258C" w:rsidP="00305CB4" w14:paraId="62D6B314" w14:textId="77777777">
      <w:pPr>
        <w:pStyle w:val="BodyText"/>
        <w:jc w:val="both"/>
      </w:pPr>
    </w:p>
    <w:p w:rsidR="00DC258C" w:rsidP="00305CB4" w14:paraId="61A0FADA" w14:textId="77777777">
      <w:pPr>
        <w:pStyle w:val="BodyText"/>
        <w:jc w:val="both"/>
      </w:pPr>
      <w:r w:rsidRPr="00932283">
        <w:rPr>
          <w:b/>
          <w:bCs w:val="0"/>
        </w:rPr>
        <w:t>Resolved:</w:t>
      </w:r>
      <w:r>
        <w:t xml:space="preserve"> That the Speed Limit proposals within Singleton Village as detailed within the report and as set out in the Modified Draft Order at Appendix 'E' of the report, be approved. </w:t>
      </w:r>
    </w:p>
    <w:p w:rsidR="00DC258C" w:rsidP="00305CB4" w14:paraId="77C46F4F" w14:textId="77777777">
      <w:pPr>
        <w:pStyle w:val="BodyText"/>
        <w:jc w:val="both"/>
      </w:pPr>
    </w:p>
    <w:p w:rsidR="00DC258C" w:rsidRPr="00932283" w:rsidP="00305CB4" w14:paraId="45EF1C0A" w14:textId="2F48E6E9">
      <w:pPr>
        <w:pStyle w:val="BodyText"/>
        <w:jc w:val="both"/>
        <w:rPr>
          <w:b/>
          <w:bCs w:val="0"/>
        </w:rPr>
      </w:pPr>
      <w:r w:rsidRPr="00932283">
        <w:rPr>
          <w:b/>
          <w:bCs w:val="0"/>
        </w:rPr>
        <w:t xml:space="preserve">Proposed Shared Use Cycleway and Waiting Restriction, </w:t>
      </w:r>
      <w:r w:rsidRPr="00932283">
        <w:rPr>
          <w:b/>
          <w:bCs w:val="0"/>
        </w:rPr>
        <w:t>Bacup</w:t>
      </w:r>
      <w:r w:rsidRPr="00932283">
        <w:rPr>
          <w:b/>
          <w:bCs w:val="0"/>
        </w:rPr>
        <w:t xml:space="preserve"> Road, Waterfoot</w:t>
      </w:r>
    </w:p>
    <w:p w:rsidR="00DC258C" w:rsidP="00305CB4" w14:paraId="01138CAB" w14:textId="77777777">
      <w:pPr>
        <w:pStyle w:val="BodyText"/>
        <w:jc w:val="both"/>
      </w:pPr>
    </w:p>
    <w:p w:rsidR="00DC258C" w:rsidP="00305CB4" w14:paraId="66083836" w14:textId="77777777">
      <w:pPr>
        <w:pStyle w:val="BodyText"/>
        <w:jc w:val="both"/>
      </w:pPr>
      <w:r>
        <w:t xml:space="preserve">Cabinet considered a report that proposed to provide a section of 'shared-use' cycle track with right of way on foot, along a length of </w:t>
      </w:r>
      <w:r>
        <w:t>Bacup</w:t>
      </w:r>
      <w:r>
        <w:t xml:space="preserve"> Road, Waterfoot. It was noted that the proposals would provide a vital link between 2 sections of the 'Valley of Stone' cycleway.</w:t>
      </w:r>
    </w:p>
    <w:p w:rsidR="00DC258C" w:rsidP="00305CB4" w14:paraId="64616361" w14:textId="77777777">
      <w:pPr>
        <w:pStyle w:val="BodyText"/>
        <w:jc w:val="both"/>
      </w:pPr>
    </w:p>
    <w:p w:rsidR="00DC258C" w:rsidP="00305CB4" w14:paraId="072E7DE6" w14:textId="77777777">
      <w:pPr>
        <w:pStyle w:val="BodyText"/>
        <w:jc w:val="both"/>
      </w:pPr>
      <w:r w:rsidRPr="00932283">
        <w:rPr>
          <w:b/>
          <w:bCs w:val="0"/>
        </w:rPr>
        <w:t>Resolved:</w:t>
      </w:r>
      <w:r>
        <w:t xml:space="preserve"> That the proposed creation of a cycle track with right of way on foot, and the implementation of a No Waiting 8am – 6pm Monday - Saturday restriction, as shown on the general plan at Appendix 'A' of the report, be approved.</w:t>
      </w:r>
    </w:p>
    <w:p w:rsidR="00DC258C" w:rsidP="00305CB4" w14:paraId="1DA0851F" w14:textId="77777777">
      <w:pPr>
        <w:pStyle w:val="BodyText"/>
        <w:jc w:val="both"/>
      </w:pPr>
    </w:p>
    <w:p w:rsidR="00DC258C" w:rsidRPr="00932283" w:rsidP="00305CB4" w14:paraId="321FC251" w14:textId="1ACF3A49">
      <w:pPr>
        <w:pStyle w:val="BodyText"/>
        <w:jc w:val="both"/>
        <w:rPr>
          <w:b/>
          <w:bCs w:val="0"/>
        </w:rPr>
      </w:pPr>
      <w:r w:rsidRPr="00932283">
        <w:rPr>
          <w:b/>
          <w:bCs w:val="0"/>
        </w:rPr>
        <w:t>Adult Social Care Transition Policy Statement</w:t>
      </w:r>
    </w:p>
    <w:p w:rsidR="00DC258C" w:rsidP="00305CB4" w14:paraId="076E5EEB" w14:textId="77777777">
      <w:pPr>
        <w:pStyle w:val="BodyText"/>
        <w:jc w:val="both"/>
      </w:pPr>
    </w:p>
    <w:p w:rsidR="00DC258C" w:rsidP="00305CB4" w14:paraId="303C0768" w14:textId="77777777">
      <w:pPr>
        <w:pStyle w:val="BodyText"/>
        <w:jc w:val="both"/>
      </w:pPr>
      <w:r>
        <w:t>Cabinet considered a report on the Adult Social Care Transition Policy Statement. The Adult Social Care Transition Policy Statement sets out how services should work together to identify as soon as possible, those children and their families who may need support to prepare for adulthood, and to support their long-term aspirations. The Policy Statement focused on young people who were likely to have eligible social care needs when they reached the age of 18, based on the Care Act 2014 eligibility criteria and was intended for Lancashire County Council services, partners and members of the public.</w:t>
      </w:r>
    </w:p>
    <w:p w:rsidR="00DC258C" w:rsidP="00305CB4" w14:paraId="09F4F6CD" w14:textId="77777777">
      <w:pPr>
        <w:pStyle w:val="BodyText"/>
        <w:jc w:val="both"/>
      </w:pPr>
    </w:p>
    <w:p w:rsidR="00DC258C" w:rsidP="00305CB4" w14:paraId="15ACDE08" w14:textId="77777777">
      <w:pPr>
        <w:pStyle w:val="BodyText"/>
        <w:jc w:val="both"/>
      </w:pPr>
      <w:r w:rsidRPr="00932283">
        <w:rPr>
          <w:b/>
          <w:bCs w:val="0"/>
        </w:rPr>
        <w:t>Resolved:</w:t>
      </w:r>
      <w:r>
        <w:t xml:space="preserve"> That the Adult Social Care Transition Policy Statement as set out at Appendix 'A' of the report, be approved.</w:t>
      </w:r>
    </w:p>
    <w:p w:rsidR="00DC258C" w:rsidP="00305CB4" w14:paraId="23CE9E4B" w14:textId="77777777">
      <w:pPr>
        <w:pStyle w:val="BodyText"/>
        <w:jc w:val="both"/>
      </w:pPr>
    </w:p>
    <w:p w:rsidR="00DC258C" w:rsidRPr="00932283" w:rsidP="00305CB4" w14:paraId="489B5E5D" w14:textId="1AFBBA7E">
      <w:pPr>
        <w:pStyle w:val="BodyText"/>
        <w:jc w:val="both"/>
        <w:rPr>
          <w:b/>
          <w:bCs w:val="0"/>
        </w:rPr>
      </w:pPr>
      <w:r w:rsidRPr="00932283">
        <w:rPr>
          <w:b/>
          <w:bCs w:val="0"/>
        </w:rPr>
        <w:t>Lancashire Accommodation with Support Plan</w:t>
      </w:r>
    </w:p>
    <w:p w:rsidR="00DC258C" w:rsidP="00305CB4" w14:paraId="0B7FFBB1" w14:textId="77777777">
      <w:pPr>
        <w:pStyle w:val="BodyText"/>
        <w:jc w:val="both"/>
      </w:pPr>
    </w:p>
    <w:p w:rsidR="00DC258C" w:rsidP="00305CB4" w14:paraId="47E769FA" w14:textId="5D27CC99">
      <w:pPr>
        <w:pStyle w:val="BodyText"/>
        <w:jc w:val="both"/>
      </w:pPr>
      <w:r>
        <w:t>Cabinet considered a report on the Lancashire Accommodation with Support Plan. The Plan outlined the housing with care and support needs for older people and working age adults in Lancashire over the next 10 to 15 years</w:t>
      </w:r>
      <w:r w:rsidR="00305CB4">
        <w:t>.</w:t>
      </w:r>
    </w:p>
    <w:p w:rsidR="00DC258C" w:rsidP="00305CB4" w14:paraId="13D969E6" w14:textId="77777777">
      <w:pPr>
        <w:pStyle w:val="BodyText"/>
        <w:jc w:val="both"/>
      </w:pPr>
    </w:p>
    <w:p w:rsidR="00DC258C" w:rsidP="00305CB4" w14:paraId="16C05A60" w14:textId="77777777">
      <w:pPr>
        <w:pStyle w:val="BodyText"/>
        <w:jc w:val="both"/>
      </w:pPr>
      <w:r w:rsidRPr="00932283">
        <w:rPr>
          <w:b/>
          <w:bCs w:val="0"/>
        </w:rPr>
        <w:t>Resolved:</w:t>
      </w:r>
      <w:r>
        <w:t xml:space="preserve"> That</w:t>
      </w:r>
    </w:p>
    <w:p w:rsidR="00DC258C" w:rsidP="00305CB4" w14:paraId="6C57C2BB" w14:textId="77777777">
      <w:pPr>
        <w:pStyle w:val="BodyText"/>
        <w:jc w:val="both"/>
      </w:pPr>
    </w:p>
    <w:p w:rsidR="00DC258C" w:rsidP="00305CB4" w14:paraId="7DD66010" w14:textId="15ACECFF">
      <w:pPr>
        <w:pStyle w:val="BodyText"/>
        <w:numPr>
          <w:ilvl w:val="0"/>
          <w:numId w:val="46"/>
        </w:numPr>
        <w:jc w:val="both"/>
      </w:pPr>
      <w:r>
        <w:t>The Lancashire Accommodation with Support Plan, as set out at Appendix 'A' of the report, be approved; and</w:t>
      </w:r>
    </w:p>
    <w:p w:rsidR="00DC258C" w:rsidP="00305CB4" w14:paraId="243047D1" w14:textId="205546F6">
      <w:pPr>
        <w:pStyle w:val="BodyText"/>
        <w:numPr>
          <w:ilvl w:val="0"/>
          <w:numId w:val="46"/>
        </w:numPr>
        <w:jc w:val="both"/>
      </w:pPr>
      <w:r>
        <w:t>Cabinet expressed its support for the work that had been undertaken through the Housing with Care and Support Steering Group, to continue to work collaboratively to ensure that the right housing with care and support was developed across Lancashire, in the right location and at the right time.</w:t>
      </w:r>
    </w:p>
    <w:p w:rsidR="00DC258C" w:rsidP="00305CB4" w14:paraId="6B3FD618" w14:textId="77777777">
      <w:pPr>
        <w:pStyle w:val="BodyText"/>
        <w:jc w:val="both"/>
      </w:pPr>
    </w:p>
    <w:p w:rsidR="00DC258C" w:rsidRPr="00932283" w:rsidP="00305CB4" w14:paraId="0B054744" w14:textId="029006B7">
      <w:pPr>
        <w:pStyle w:val="BodyText"/>
        <w:jc w:val="both"/>
        <w:rPr>
          <w:b/>
          <w:bCs w:val="0"/>
        </w:rPr>
      </w:pPr>
      <w:r w:rsidRPr="00932283">
        <w:rPr>
          <w:b/>
          <w:bCs w:val="0"/>
        </w:rPr>
        <w:t>Revision of Foster Care Allowances 2023/24</w:t>
      </w:r>
    </w:p>
    <w:p w:rsidR="00DC258C" w:rsidP="00305CB4" w14:paraId="648BA895" w14:textId="77777777">
      <w:pPr>
        <w:pStyle w:val="BodyText"/>
        <w:jc w:val="both"/>
      </w:pPr>
    </w:p>
    <w:p w:rsidR="00DC258C" w:rsidP="00305CB4" w14:paraId="5CCF54C3" w14:textId="77777777">
      <w:pPr>
        <w:pStyle w:val="BodyText"/>
        <w:jc w:val="both"/>
      </w:pPr>
      <w:r>
        <w:t>Cabinet considered a report on the revision of Foster Care Allowances for 2023/24. The report proposed the increase of Foster Care Allowance rates for 2023/24, in line with National Minimum Standards, and proposed the increase of Foster Care fee rates for 2023/24, in line with the Consumer Price Index.</w:t>
      </w:r>
    </w:p>
    <w:p w:rsidR="00DC258C" w:rsidP="00305CB4" w14:paraId="5790764B" w14:textId="77777777">
      <w:pPr>
        <w:pStyle w:val="BodyText"/>
        <w:jc w:val="both"/>
      </w:pPr>
    </w:p>
    <w:p w:rsidR="00DC258C" w:rsidP="00305CB4" w14:paraId="5C170CB0" w14:textId="77777777">
      <w:pPr>
        <w:pStyle w:val="BodyText"/>
        <w:jc w:val="both"/>
      </w:pPr>
      <w:r w:rsidRPr="00932283">
        <w:rPr>
          <w:b/>
          <w:bCs w:val="0"/>
        </w:rPr>
        <w:t>Resolved:</w:t>
      </w:r>
      <w:r>
        <w:t xml:space="preserve"> That, with the clarification set out above, the increase in the current scale of Foster Care Allowances and Fees, as set out at Appendix ‘A' of the report, be approved.</w:t>
      </w:r>
    </w:p>
    <w:p w:rsidR="00932283" w:rsidP="00305CB4" w14:paraId="613169CE" w14:textId="77777777">
      <w:pPr>
        <w:pStyle w:val="BodyText"/>
        <w:jc w:val="both"/>
      </w:pPr>
    </w:p>
    <w:p w:rsidR="00DC258C" w:rsidRPr="00932283" w:rsidP="00305CB4" w14:paraId="10DA84B6" w14:textId="3FB4F068">
      <w:pPr>
        <w:pStyle w:val="BodyText"/>
        <w:jc w:val="both"/>
        <w:rPr>
          <w:b/>
          <w:bCs w:val="0"/>
        </w:rPr>
      </w:pPr>
      <w:r w:rsidRPr="00932283">
        <w:rPr>
          <w:b/>
          <w:bCs w:val="0"/>
        </w:rPr>
        <w:t>Special Educational Needs and Disabilities Sufficiency Strategy Implementation - Proposal to Expand Kingsbury Primary School, Skelmersdale</w:t>
      </w:r>
    </w:p>
    <w:p w:rsidR="00DC258C" w:rsidP="00305CB4" w14:paraId="2A21E4E7" w14:textId="77777777">
      <w:pPr>
        <w:pStyle w:val="BodyText"/>
        <w:jc w:val="both"/>
      </w:pPr>
    </w:p>
    <w:p w:rsidR="00DC258C" w:rsidP="00305CB4" w14:paraId="715740E4" w14:textId="77777777">
      <w:pPr>
        <w:pStyle w:val="BodyText"/>
        <w:jc w:val="both"/>
      </w:pPr>
      <w:r>
        <w:t>Cabinet considered a report that proposed to create additional special school places at Kingsbury Primary School, Skelmersdale, through an expansion of the school.</w:t>
      </w:r>
    </w:p>
    <w:p w:rsidR="00DC258C" w:rsidP="00305CB4" w14:paraId="3B6155E7" w14:textId="77777777">
      <w:pPr>
        <w:pStyle w:val="BodyText"/>
        <w:jc w:val="both"/>
      </w:pPr>
    </w:p>
    <w:p w:rsidR="00DC258C" w:rsidP="00305CB4" w14:paraId="20294820" w14:textId="77777777">
      <w:pPr>
        <w:pStyle w:val="BodyText"/>
        <w:jc w:val="both"/>
      </w:pPr>
      <w:r w:rsidRPr="00932283">
        <w:rPr>
          <w:b/>
          <w:bCs w:val="0"/>
        </w:rPr>
        <w:t>Resolved:</w:t>
      </w:r>
      <w:r>
        <w:t xml:space="preserve"> That, following consideration of the results of the formal </w:t>
      </w:r>
      <w:r>
        <w:t>consultation,  approval</w:t>
      </w:r>
      <w:r>
        <w:t xml:space="preserve"> be given to increase the number of special school places at Kingsbury Primary School, Skelmersdale, by 30 places to 120, which would be created through additional teaching spaces on the school site.</w:t>
      </w:r>
    </w:p>
    <w:p w:rsidR="00DC258C" w:rsidP="00305CB4" w14:paraId="6AC0B8DB" w14:textId="77777777">
      <w:pPr>
        <w:pStyle w:val="BodyText"/>
        <w:jc w:val="both"/>
      </w:pPr>
    </w:p>
    <w:p w:rsidR="00DC258C" w:rsidRPr="00932283" w:rsidP="00305CB4" w14:paraId="7E80A377" w14:textId="1B77A731">
      <w:pPr>
        <w:pStyle w:val="BodyText"/>
        <w:jc w:val="both"/>
        <w:rPr>
          <w:b/>
          <w:bCs w:val="0"/>
        </w:rPr>
      </w:pPr>
      <w:r w:rsidRPr="00932283">
        <w:rPr>
          <w:b/>
          <w:bCs w:val="0"/>
        </w:rPr>
        <w:t>School Place Planning Delivery Programme 2023-25: Update</w:t>
      </w:r>
    </w:p>
    <w:p w:rsidR="00DC258C" w:rsidP="00305CB4" w14:paraId="280BFA60" w14:textId="77777777">
      <w:pPr>
        <w:pStyle w:val="BodyText"/>
        <w:jc w:val="both"/>
      </w:pPr>
    </w:p>
    <w:p w:rsidR="00DC258C" w:rsidP="00305CB4" w14:paraId="6E910F50" w14:textId="77777777">
      <w:pPr>
        <w:pStyle w:val="BodyText"/>
        <w:jc w:val="both"/>
      </w:pPr>
      <w:r>
        <w:t>Cabinet considered a report that proposed to progress projects to address the additional place requirements identified in the School Place Planning Delivery Programme 2023-25, including an updated position on the new school requirement on the former Whittingham Hospital site.</w:t>
      </w:r>
    </w:p>
    <w:p w:rsidR="00DC258C" w:rsidP="00305CB4" w14:paraId="32ECD817" w14:textId="77777777">
      <w:pPr>
        <w:pStyle w:val="BodyText"/>
        <w:jc w:val="both"/>
      </w:pPr>
      <w:r w:rsidRPr="00932283">
        <w:rPr>
          <w:b/>
          <w:bCs w:val="0"/>
        </w:rPr>
        <w:t>Resolved:</w:t>
      </w:r>
      <w:r>
        <w:t xml:space="preserve"> That the following be approved:</w:t>
      </w:r>
    </w:p>
    <w:p w:rsidR="00DC258C" w:rsidP="00305CB4" w14:paraId="432AC89E" w14:textId="77777777">
      <w:pPr>
        <w:pStyle w:val="BodyText"/>
        <w:jc w:val="both"/>
      </w:pPr>
    </w:p>
    <w:p w:rsidR="00DC258C" w:rsidP="00305CB4" w14:paraId="5B5F27B5" w14:textId="1FB7BE12">
      <w:pPr>
        <w:pStyle w:val="BodyText"/>
        <w:numPr>
          <w:ilvl w:val="0"/>
          <w:numId w:val="48"/>
        </w:numPr>
        <w:jc w:val="both"/>
      </w:pPr>
      <w:r>
        <w:t xml:space="preserve">The proposal to permanently expand Cottam Primary School by 1 form of entry, by increasing the published admission number from 30 to 60 with effect from 2024/25, gradually increasing the school's capacity from 210 to </w:t>
      </w:r>
      <w:r>
        <w:t>420;</w:t>
      </w:r>
    </w:p>
    <w:p w:rsidR="00DC258C" w:rsidP="00305CB4" w14:paraId="6C8325DD" w14:textId="26173210">
      <w:pPr>
        <w:pStyle w:val="BodyText"/>
        <w:numPr>
          <w:ilvl w:val="0"/>
          <w:numId w:val="48"/>
        </w:numPr>
        <w:jc w:val="both"/>
      </w:pPr>
      <w:r>
        <w:t xml:space="preserve">An amendment to the School Place Planning Delivery Programme 2023-25, in relation to the proposal to establish a new primary school on the former Whittingham Hospital site, increasing the provision from 1 form of entry to 2 forms of </w:t>
      </w:r>
      <w:r>
        <w:t>entry;</w:t>
      </w:r>
    </w:p>
    <w:p w:rsidR="00DC258C" w:rsidP="00305CB4" w14:paraId="7E508AB0" w14:textId="62E85F4F">
      <w:pPr>
        <w:pStyle w:val="BodyText"/>
        <w:numPr>
          <w:ilvl w:val="0"/>
          <w:numId w:val="48"/>
        </w:numPr>
        <w:jc w:val="both"/>
      </w:pPr>
      <w:r>
        <w:t xml:space="preserve">The proposal to permanently expand St Cecilia's Roman Catholic High School, Longridge, by increasing the published admission number by 23 places per year from 2024/25, gradually increasing the school's capacity from 485 to </w:t>
      </w:r>
      <w:r>
        <w:t>600;</w:t>
      </w:r>
      <w:r>
        <w:t xml:space="preserve"> and</w:t>
      </w:r>
    </w:p>
    <w:p w:rsidR="004D21A8" w:rsidP="00305CB4" w14:paraId="62F61BF2" w14:textId="079D4F31">
      <w:pPr>
        <w:pStyle w:val="BodyText"/>
        <w:numPr>
          <w:ilvl w:val="0"/>
          <w:numId w:val="48"/>
        </w:numPr>
        <w:jc w:val="both"/>
      </w:pPr>
      <w:r>
        <w:t xml:space="preserve">The capital allocation for the St Cecilia's Roman Catholic High School project as set out at Appendix 'A' of the report.  </w:t>
      </w:r>
    </w:p>
    <w:p w:rsidR="00A86A6C" w:rsidP="00305CB4" w14:paraId="6536A4AF" w14:textId="77777777">
      <w:pPr>
        <w:pStyle w:val="BodyText"/>
        <w:jc w:val="both"/>
      </w:pPr>
    </w:p>
    <w:p w:rsidR="00A86A6C" w:rsidP="00305CB4" w14:paraId="7C58B319" w14:textId="2661A89B">
      <w:pPr>
        <w:pStyle w:val="H2NoNumb"/>
        <w:spacing w:before="0"/>
        <w:jc w:val="both"/>
      </w:pPr>
      <w:r>
        <w:t>Part II (Not Open to Press and Public)</w:t>
      </w:r>
    </w:p>
    <w:p w:rsidR="00A86A6C" w:rsidP="00305CB4" w14:paraId="71DBCB01" w14:textId="77777777">
      <w:pPr>
        <w:pStyle w:val="BodyText"/>
        <w:jc w:val="both"/>
      </w:pPr>
    </w:p>
    <w:p w:rsidR="000C3D9E" w:rsidRPr="00932283" w:rsidP="00305CB4" w14:paraId="2E79C4C1" w14:textId="38F3B716">
      <w:pPr>
        <w:pStyle w:val="BodyText"/>
        <w:jc w:val="both"/>
        <w:rPr>
          <w:b/>
          <w:bCs w:val="0"/>
        </w:rPr>
      </w:pPr>
      <w:r w:rsidRPr="00932283">
        <w:rPr>
          <w:b/>
          <w:bCs w:val="0"/>
        </w:rPr>
        <w:t>East Lancashire Substance Use Community Treatment Service</w:t>
      </w:r>
    </w:p>
    <w:p w:rsidR="000C3D9E" w:rsidP="00305CB4" w14:paraId="107DEB6B" w14:textId="77777777">
      <w:pPr>
        <w:pStyle w:val="BodyText"/>
        <w:jc w:val="both"/>
      </w:pPr>
    </w:p>
    <w:p w:rsidR="000C3D9E" w:rsidP="00305CB4" w14:paraId="49BD3067" w14:textId="77777777">
      <w:pPr>
        <w:pStyle w:val="BodyText"/>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interest in maintaining the exemption outweighed the public interest in disclosing the information.</w:t>
      </w:r>
    </w:p>
    <w:p w:rsidR="000C3D9E" w:rsidP="00305CB4" w14:paraId="79F6B2A9" w14:textId="77777777">
      <w:pPr>
        <w:pStyle w:val="BodyText"/>
        <w:jc w:val="both"/>
      </w:pPr>
    </w:p>
    <w:p w:rsidR="000C3D9E" w:rsidP="00305CB4" w14:paraId="0830F608" w14:textId="77777777">
      <w:pPr>
        <w:pStyle w:val="BodyText"/>
        <w:jc w:val="both"/>
      </w:pPr>
      <w:r>
        <w:t>Cabinet considered a report on the East Lancashire Substance Use Community Treatment Service.</w:t>
      </w:r>
    </w:p>
    <w:p w:rsidR="000C3D9E" w:rsidP="00305CB4" w14:paraId="595B5577" w14:textId="77777777">
      <w:pPr>
        <w:pStyle w:val="BodyText"/>
        <w:jc w:val="both"/>
      </w:pPr>
    </w:p>
    <w:p w:rsidR="000C3D9E" w:rsidP="00305CB4" w14:paraId="1FEA97CA" w14:textId="77777777">
      <w:pPr>
        <w:pStyle w:val="BodyText"/>
        <w:jc w:val="both"/>
      </w:pPr>
      <w:r w:rsidRPr="00932283">
        <w:rPr>
          <w:b/>
          <w:bCs w:val="0"/>
        </w:rPr>
        <w:t>Resolved:</w:t>
      </w:r>
      <w:r>
        <w:t xml:space="preserve"> That the recommendation as set out in the report, be approved.</w:t>
      </w:r>
    </w:p>
    <w:p w:rsidR="000C3D9E" w:rsidP="00305CB4" w14:paraId="78F4FFD4" w14:textId="77777777">
      <w:pPr>
        <w:pStyle w:val="BodyText"/>
        <w:jc w:val="both"/>
      </w:pPr>
    </w:p>
    <w:p w:rsidR="000C3D9E" w:rsidRPr="00932283" w:rsidP="00305CB4" w14:paraId="6A076ECF" w14:textId="0905053D">
      <w:pPr>
        <w:pStyle w:val="BodyText"/>
        <w:jc w:val="both"/>
        <w:rPr>
          <w:b/>
          <w:bCs w:val="0"/>
        </w:rPr>
      </w:pPr>
      <w:r w:rsidRPr="00932283">
        <w:rPr>
          <w:b/>
          <w:bCs w:val="0"/>
        </w:rPr>
        <w:t>Lancashire Central, Cuerden Update</w:t>
      </w:r>
    </w:p>
    <w:p w:rsidR="000C3D9E" w:rsidP="00305CB4" w14:paraId="3A32F2B6" w14:textId="77777777">
      <w:pPr>
        <w:pStyle w:val="BodyText"/>
        <w:jc w:val="both"/>
      </w:pPr>
    </w:p>
    <w:p w:rsidR="000C3D9E" w:rsidP="00305CB4" w14:paraId="4F95FF17" w14:textId="77777777">
      <w:pPr>
        <w:pStyle w:val="BodyText"/>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interest in maintaining the exemption outweighed the public interest in disclosing the information.</w:t>
      </w:r>
    </w:p>
    <w:p w:rsidR="000C3D9E" w:rsidP="00305CB4" w14:paraId="4868006E" w14:textId="77777777">
      <w:pPr>
        <w:pStyle w:val="BodyText"/>
        <w:jc w:val="both"/>
      </w:pPr>
    </w:p>
    <w:p w:rsidR="000C3D9E" w:rsidP="00305CB4" w14:paraId="58E54517" w14:textId="77777777">
      <w:pPr>
        <w:pStyle w:val="BodyText"/>
        <w:jc w:val="both"/>
      </w:pPr>
      <w:r>
        <w:t>Cabinet considered a report providing an update on the Lancashire Central, Cuerden site.</w:t>
      </w:r>
    </w:p>
    <w:p w:rsidR="000C3D9E" w:rsidP="00305CB4" w14:paraId="6E9867FB" w14:textId="77777777">
      <w:pPr>
        <w:pStyle w:val="BodyText"/>
        <w:jc w:val="both"/>
      </w:pPr>
    </w:p>
    <w:p w:rsidR="000C3D9E" w:rsidP="00305CB4" w14:paraId="67DA0636" w14:textId="77777777">
      <w:pPr>
        <w:pStyle w:val="BodyText"/>
        <w:jc w:val="both"/>
      </w:pPr>
      <w:r w:rsidRPr="00932283">
        <w:rPr>
          <w:b/>
          <w:bCs w:val="0"/>
        </w:rPr>
        <w:t>Resolved:</w:t>
      </w:r>
      <w:r>
        <w:t xml:space="preserve"> That the recommendation as set out in the report, be approved.</w:t>
      </w:r>
    </w:p>
    <w:p w:rsidR="000C3D9E" w:rsidP="00305CB4" w14:paraId="322D338A" w14:textId="77777777">
      <w:pPr>
        <w:pStyle w:val="BodyText"/>
        <w:jc w:val="both"/>
      </w:pPr>
    </w:p>
    <w:p w:rsidR="00305CB4" w:rsidP="00305CB4" w14:paraId="5B534D71" w14:textId="77777777">
      <w:pPr>
        <w:pStyle w:val="BodyText"/>
        <w:jc w:val="both"/>
      </w:pPr>
    </w:p>
    <w:p w:rsidR="00305CB4" w:rsidP="00305CB4" w14:paraId="0BCDED04" w14:textId="77777777">
      <w:pPr>
        <w:pStyle w:val="BodyText"/>
        <w:jc w:val="both"/>
      </w:pPr>
    </w:p>
    <w:p w:rsidR="000C3D9E" w:rsidRPr="00932283" w:rsidP="00305CB4" w14:paraId="0B1EFA85" w14:textId="20A697B4">
      <w:pPr>
        <w:pStyle w:val="BodyText"/>
        <w:jc w:val="both"/>
        <w:rPr>
          <w:b/>
          <w:bCs w:val="0"/>
        </w:rPr>
      </w:pPr>
      <w:r w:rsidRPr="00932283">
        <w:rPr>
          <w:b/>
          <w:bCs w:val="0"/>
        </w:rPr>
        <w:t>South Lancaster Growth Catalyst Update</w:t>
      </w:r>
    </w:p>
    <w:p w:rsidR="000C3D9E" w:rsidP="00305CB4" w14:paraId="5054871C" w14:textId="77777777">
      <w:pPr>
        <w:pStyle w:val="BodyText"/>
        <w:jc w:val="both"/>
      </w:pPr>
    </w:p>
    <w:p w:rsidR="000C3D9E" w:rsidP="00305CB4" w14:paraId="55D00B52" w14:textId="77777777">
      <w:pPr>
        <w:pStyle w:val="BodyText"/>
        <w:jc w:val="both"/>
      </w:pPr>
      <w:r>
        <w:t>Cabinet considered a report providing an update on the South Lancaster Growth Catalyst.</w:t>
      </w:r>
    </w:p>
    <w:p w:rsidR="000C3D9E" w:rsidP="00305CB4" w14:paraId="294F33F0" w14:textId="77777777">
      <w:pPr>
        <w:pStyle w:val="BodyText"/>
        <w:jc w:val="both"/>
      </w:pPr>
    </w:p>
    <w:p w:rsidR="000C3D9E" w:rsidP="00305CB4" w14:paraId="587D1D24" w14:textId="5E884E49">
      <w:pPr>
        <w:pStyle w:val="BodyText"/>
        <w:jc w:val="both"/>
      </w:pPr>
      <w:r w:rsidRPr="00932283">
        <w:rPr>
          <w:b/>
          <w:bCs w:val="0"/>
        </w:rPr>
        <w:t>Resolved:</w:t>
      </w:r>
      <w:r>
        <w:t xml:space="preserve"> That the recommendation as set out in the report, be approved.</w:t>
      </w:r>
    </w:p>
    <w:sectPr w:rsidSect="00C756A1">
      <w:footerReference w:type="even" r:id="rId5"/>
      <w:footerReference w:type="default" r:id="rId6"/>
      <w:headerReference w:type="first" r:id="rId7"/>
      <w:footerReference w:type="first" r:id="rId8"/>
      <w:type w:val="continuous"/>
      <w:pgSz w:w="11907" w:h="16840" w:code="9"/>
      <w:pgMar w:top="1560" w:right="1440" w:bottom="1440" w:left="1440" w:header="720" w:footer="306"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129" w:rsidP="00E16E4D" w14:paraId="38A39372"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74129" w14:paraId="765C58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129" w:rsidP="00D74129" w14:paraId="2321BD29" w14:textId="77777777">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3F4EBC9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DF043B" w14:paraId="606289D6" w14:textId="77777777">
          <w:pPr>
            <w:pStyle w:val="Footer"/>
            <w:tabs>
              <w:tab w:val="clear" w:pos="4153"/>
            </w:tabs>
            <w:ind w:right="-45"/>
            <w:jc w:val="right"/>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61864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rsidR="00DF043B" w14:paraId="4AA5011C" w14:textId="77777777">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129" w:rsidP="00D74129" w14:paraId="5D12ABFA" w14:textId="77777777">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6534781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6487C" w:rsidP="004D419B" w14:paraId="305C6FA9" w14:textId="77777777">
          <w:pPr>
            <w:pStyle w:val="Footer"/>
            <w:tabs>
              <w:tab w:val="clear" w:pos="4153"/>
            </w:tabs>
            <w:ind w:right="-45"/>
            <w:jc w:val="right"/>
          </w:pPr>
        </w:p>
      </w:tc>
    </w:tr>
  </w:tbl>
  <w:p w:rsidR="00DF043B" w:rsidRPr="0036487C" w:rsidP="0036487C" w14:paraId="28EEFD91" w14:textId="77777777">
    <w:pPr>
      <w:pStyle w:val="Footer"/>
    </w:pPr>
    <w:r>
      <w:rPr>
        <w:noProof/>
      </w:rPr>
      <w:drawing>
        <wp:anchor distT="0" distB="0" distL="114300" distR="114300" simplePos="0" relativeHeight="251659264"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76466" name="Picture 7"/>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33" w14:paraId="232C36F4" w14:textId="77777777">
    <w:pPr>
      <w:pStyle w:val="Header"/>
    </w:pPr>
    <w:r>
      <w:rPr>
        <w:noProof/>
      </w:rPr>
      <w:drawing>
        <wp:anchor distT="0" distB="0" distL="114300" distR="114300" simplePos="0" relativeHeight="25166028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21286" name="Picture 6" descr="Background pattern&#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11E64"/>
    <w:multiLevelType w:val="hybridMultilevel"/>
    <w:tmpl w:val="3ACAE69C"/>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9030B"/>
    <w:multiLevelType w:val="hybridMultilevel"/>
    <w:tmpl w:val="8626ED9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BA098A"/>
    <w:multiLevelType w:val="hybridMultilevel"/>
    <w:tmpl w:val="B2AAAF5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D9370C"/>
    <w:multiLevelType w:val="hybridMultilevel"/>
    <w:tmpl w:val="0EC4C8B4"/>
    <w:lvl w:ilvl="0">
      <w:start w:val="1"/>
      <w:numFmt w:val="lowerRoman"/>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012A98"/>
    <w:multiLevelType w:val="hybridMultilevel"/>
    <w:tmpl w:val="7A78A8B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6C1A4D"/>
    <w:multiLevelType w:val="hybridMultilevel"/>
    <w:tmpl w:val="4DFC48C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5E6CC4"/>
    <w:multiLevelType w:val="hybridMultilevel"/>
    <w:tmpl w:val="DEAC04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89032E"/>
    <w:multiLevelType w:val="hybridMultilevel"/>
    <w:tmpl w:val="3CCCD1A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B44C3"/>
    <w:multiLevelType w:val="hybridMultilevel"/>
    <w:tmpl w:val="D83294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E75FD0"/>
    <w:multiLevelType w:val="hybridMultilevel"/>
    <w:tmpl w:val="57DCF79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A0544E"/>
    <w:multiLevelType w:val="hybridMultilevel"/>
    <w:tmpl w:val="DE14291E"/>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5529A7"/>
    <w:multiLevelType w:val="hybridMultilevel"/>
    <w:tmpl w:val="5706059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7B4BF8"/>
    <w:multiLevelType w:val="hybridMultilevel"/>
    <w:tmpl w:val="7F1A715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961369"/>
    <w:multiLevelType w:val="hybridMultilevel"/>
    <w:tmpl w:val="CF98A60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892BF8"/>
    <w:multiLevelType w:val="hybridMultilevel"/>
    <w:tmpl w:val="D57EEE4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3121A42"/>
    <w:multiLevelType w:val="hybridMultilevel"/>
    <w:tmpl w:val="2D1849E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B054D5"/>
    <w:multiLevelType w:val="hybridMultilevel"/>
    <w:tmpl w:val="64B85E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50371F"/>
    <w:multiLevelType w:val="hybridMultilevel"/>
    <w:tmpl w:val="6AA835E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4D21A0"/>
    <w:multiLevelType w:val="hybridMultilevel"/>
    <w:tmpl w:val="A3EE9070"/>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96E0CC2"/>
    <w:multiLevelType w:val="hybridMultilevel"/>
    <w:tmpl w:val="24D681E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4F420A"/>
    <w:multiLevelType w:val="hybridMultilevel"/>
    <w:tmpl w:val="8C6A42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AB77659"/>
    <w:multiLevelType w:val="hybridMultilevel"/>
    <w:tmpl w:val="5C1C345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ABB7C65"/>
    <w:multiLevelType w:val="hybridMultilevel"/>
    <w:tmpl w:val="1D8E2F86"/>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D5A0D6A"/>
    <w:multiLevelType w:val="hybridMultilevel"/>
    <w:tmpl w:val="886E86E6"/>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E7046A3"/>
    <w:multiLevelType w:val="hybridMultilevel"/>
    <w:tmpl w:val="151ADEF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18B5F00"/>
    <w:multiLevelType w:val="hybridMultilevel"/>
    <w:tmpl w:val="92A43CA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5390E99"/>
    <w:multiLevelType w:val="hybridMultilevel"/>
    <w:tmpl w:val="238278DC"/>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6604D7A"/>
    <w:multiLevelType w:val="hybridMultilevel"/>
    <w:tmpl w:val="069265C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8BF2C9D"/>
    <w:multiLevelType w:val="hybridMultilevel"/>
    <w:tmpl w:val="E126EF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9C20AFF"/>
    <w:multiLevelType w:val="hybridMultilevel"/>
    <w:tmpl w:val="2A8810D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9EA1099"/>
    <w:multiLevelType w:val="hybridMultilevel"/>
    <w:tmpl w:val="41C236C8"/>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BD1719D"/>
    <w:multiLevelType w:val="hybridMultilevel"/>
    <w:tmpl w:val="AAAE732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DFF2F17"/>
    <w:multiLevelType w:val="hybridMultilevel"/>
    <w:tmpl w:val="DF545EE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E520553"/>
    <w:multiLevelType w:val="hybridMultilevel"/>
    <w:tmpl w:val="049AE7C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164612E"/>
    <w:multiLevelType w:val="hybridMultilevel"/>
    <w:tmpl w:val="BE3EC048"/>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1DB280D"/>
    <w:multiLevelType w:val="hybridMultilevel"/>
    <w:tmpl w:val="8F3A3EF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C9816A7"/>
    <w:multiLevelType w:val="hybridMultilevel"/>
    <w:tmpl w:val="BF2C9D4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DEE7065"/>
    <w:multiLevelType w:val="hybridMultilevel"/>
    <w:tmpl w:val="93B4D7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E80409D"/>
    <w:multiLevelType w:val="hybridMultilevel"/>
    <w:tmpl w:val="0EAC43C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2CD4A74"/>
    <w:multiLevelType w:val="hybridMultilevel"/>
    <w:tmpl w:val="12E05FFA"/>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3800D06"/>
    <w:multiLevelType w:val="hybridMultilevel"/>
    <w:tmpl w:val="95521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8C4272D"/>
    <w:multiLevelType w:val="hybridMultilevel"/>
    <w:tmpl w:val="34C4B01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FBE57CC"/>
    <w:multiLevelType w:val="hybridMultilevel"/>
    <w:tmpl w:val="E47E3E9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15250FF"/>
    <w:multiLevelType w:val="hybridMultilevel"/>
    <w:tmpl w:val="F802294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4FC745A"/>
    <w:multiLevelType w:val="hybridMultilevel"/>
    <w:tmpl w:val="D6F6341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6576972"/>
    <w:multiLevelType w:val="hybridMultilevel"/>
    <w:tmpl w:val="2856E3A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9E0446"/>
    <w:multiLevelType w:val="hybridMultilevel"/>
    <w:tmpl w:val="9880D44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11E5C23"/>
    <w:multiLevelType w:val="hybridMultilevel"/>
    <w:tmpl w:val="07F237D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33"/>
  </w:num>
  <w:num w:numId="3">
    <w:abstractNumId w:val="27"/>
  </w:num>
  <w:num w:numId="4">
    <w:abstractNumId w:val="21"/>
  </w:num>
  <w:num w:numId="5">
    <w:abstractNumId w:val="15"/>
  </w:num>
  <w:num w:numId="6">
    <w:abstractNumId w:val="8"/>
  </w:num>
  <w:num w:numId="7">
    <w:abstractNumId w:val="5"/>
  </w:num>
  <w:num w:numId="8">
    <w:abstractNumId w:val="44"/>
  </w:num>
  <w:num w:numId="9">
    <w:abstractNumId w:val="14"/>
  </w:num>
  <w:num w:numId="10">
    <w:abstractNumId w:val="3"/>
  </w:num>
  <w:num w:numId="11">
    <w:abstractNumId w:val="4"/>
  </w:num>
  <w:num w:numId="12">
    <w:abstractNumId w:val="24"/>
  </w:num>
  <w:num w:numId="13">
    <w:abstractNumId w:val="46"/>
  </w:num>
  <w:num w:numId="14">
    <w:abstractNumId w:val="1"/>
  </w:num>
  <w:num w:numId="15">
    <w:abstractNumId w:val="16"/>
  </w:num>
  <w:num w:numId="16">
    <w:abstractNumId w:val="13"/>
  </w:num>
  <w:num w:numId="17">
    <w:abstractNumId w:val="36"/>
  </w:num>
  <w:num w:numId="18">
    <w:abstractNumId w:val="47"/>
  </w:num>
  <w:num w:numId="19">
    <w:abstractNumId w:val="20"/>
  </w:num>
  <w:num w:numId="20">
    <w:abstractNumId w:val="39"/>
  </w:num>
  <w:num w:numId="21">
    <w:abstractNumId w:val="45"/>
  </w:num>
  <w:num w:numId="22">
    <w:abstractNumId w:val="42"/>
  </w:num>
  <w:num w:numId="23">
    <w:abstractNumId w:val="25"/>
  </w:num>
  <w:num w:numId="24">
    <w:abstractNumId w:val="11"/>
  </w:num>
  <w:num w:numId="25">
    <w:abstractNumId w:val="12"/>
  </w:num>
  <w:num w:numId="26">
    <w:abstractNumId w:val="6"/>
  </w:num>
  <w:num w:numId="27">
    <w:abstractNumId w:val="43"/>
  </w:num>
  <w:num w:numId="28">
    <w:abstractNumId w:val="41"/>
  </w:num>
  <w:num w:numId="29">
    <w:abstractNumId w:val="32"/>
  </w:num>
  <w:num w:numId="30">
    <w:abstractNumId w:val="19"/>
  </w:num>
  <w:num w:numId="31">
    <w:abstractNumId w:val="40"/>
  </w:num>
  <w:num w:numId="32">
    <w:abstractNumId w:val="2"/>
  </w:num>
  <w:num w:numId="33">
    <w:abstractNumId w:val="23"/>
  </w:num>
  <w:num w:numId="34">
    <w:abstractNumId w:val="10"/>
  </w:num>
  <w:num w:numId="35">
    <w:abstractNumId w:val="31"/>
  </w:num>
  <w:num w:numId="36">
    <w:abstractNumId w:val="38"/>
  </w:num>
  <w:num w:numId="37">
    <w:abstractNumId w:val="35"/>
  </w:num>
  <w:num w:numId="38">
    <w:abstractNumId w:val="9"/>
  </w:num>
  <w:num w:numId="39">
    <w:abstractNumId w:val="26"/>
  </w:num>
  <w:num w:numId="40">
    <w:abstractNumId w:val="18"/>
  </w:num>
  <w:num w:numId="41">
    <w:abstractNumId w:val="37"/>
  </w:num>
  <w:num w:numId="42">
    <w:abstractNumId w:val="30"/>
  </w:num>
  <w:num w:numId="43">
    <w:abstractNumId w:val="34"/>
  </w:num>
  <w:num w:numId="44">
    <w:abstractNumId w:val="28"/>
  </w:num>
  <w:num w:numId="45">
    <w:abstractNumId w:val="0"/>
  </w:num>
  <w:num w:numId="46">
    <w:abstractNumId w:val="17"/>
  </w:num>
  <w:num w:numId="47">
    <w:abstractNumId w:val="22"/>
  </w:num>
  <w:num w:numId="4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E21"/>
    <w:rsid w:val="00044FB9"/>
    <w:rsid w:val="000955FB"/>
    <w:rsid w:val="000C27CF"/>
    <w:rsid w:val="000C3D9E"/>
    <w:rsid w:val="000E24D7"/>
    <w:rsid w:val="00136344"/>
    <w:rsid w:val="00192EE0"/>
    <w:rsid w:val="00245237"/>
    <w:rsid w:val="0026742E"/>
    <w:rsid w:val="00273AE7"/>
    <w:rsid w:val="002A44DA"/>
    <w:rsid w:val="002B01EB"/>
    <w:rsid w:val="002B7F8E"/>
    <w:rsid w:val="002C227F"/>
    <w:rsid w:val="003032CE"/>
    <w:rsid w:val="00305CB4"/>
    <w:rsid w:val="003209AD"/>
    <w:rsid w:val="003254F5"/>
    <w:rsid w:val="00346222"/>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26112"/>
    <w:rsid w:val="0059322F"/>
    <w:rsid w:val="005A350B"/>
    <w:rsid w:val="005B11A8"/>
    <w:rsid w:val="0060036F"/>
    <w:rsid w:val="00620DBC"/>
    <w:rsid w:val="00626F7D"/>
    <w:rsid w:val="0063105A"/>
    <w:rsid w:val="00635B5C"/>
    <w:rsid w:val="00655131"/>
    <w:rsid w:val="00670BC1"/>
    <w:rsid w:val="00673CA9"/>
    <w:rsid w:val="006D4D2A"/>
    <w:rsid w:val="006F0238"/>
    <w:rsid w:val="00701D64"/>
    <w:rsid w:val="00703621"/>
    <w:rsid w:val="00707981"/>
    <w:rsid w:val="00741C77"/>
    <w:rsid w:val="00777E5E"/>
    <w:rsid w:val="00782B20"/>
    <w:rsid w:val="007B3B21"/>
    <w:rsid w:val="007C3C64"/>
    <w:rsid w:val="007D264F"/>
    <w:rsid w:val="00804D11"/>
    <w:rsid w:val="00805829"/>
    <w:rsid w:val="00841033"/>
    <w:rsid w:val="00844118"/>
    <w:rsid w:val="00846540"/>
    <w:rsid w:val="00864579"/>
    <w:rsid w:val="0087316B"/>
    <w:rsid w:val="0088697C"/>
    <w:rsid w:val="008B1D24"/>
    <w:rsid w:val="008C1D0B"/>
    <w:rsid w:val="008E3BC3"/>
    <w:rsid w:val="00911715"/>
    <w:rsid w:val="00932283"/>
    <w:rsid w:val="009F68C6"/>
    <w:rsid w:val="00A041AB"/>
    <w:rsid w:val="00A24E12"/>
    <w:rsid w:val="00A26ED6"/>
    <w:rsid w:val="00A2745C"/>
    <w:rsid w:val="00A514AF"/>
    <w:rsid w:val="00A6118E"/>
    <w:rsid w:val="00A70AEB"/>
    <w:rsid w:val="00A71CC6"/>
    <w:rsid w:val="00A86A6C"/>
    <w:rsid w:val="00AA1037"/>
    <w:rsid w:val="00AE7143"/>
    <w:rsid w:val="00AF3C5C"/>
    <w:rsid w:val="00B51A14"/>
    <w:rsid w:val="00B52950"/>
    <w:rsid w:val="00BA5465"/>
    <w:rsid w:val="00BC6390"/>
    <w:rsid w:val="00BE250B"/>
    <w:rsid w:val="00C025D5"/>
    <w:rsid w:val="00C03D3C"/>
    <w:rsid w:val="00C14B07"/>
    <w:rsid w:val="00C45BF7"/>
    <w:rsid w:val="00C520A5"/>
    <w:rsid w:val="00C756A1"/>
    <w:rsid w:val="00C83E35"/>
    <w:rsid w:val="00CB685D"/>
    <w:rsid w:val="00CE2C12"/>
    <w:rsid w:val="00CF7BC0"/>
    <w:rsid w:val="00D002CC"/>
    <w:rsid w:val="00D03636"/>
    <w:rsid w:val="00D50DF0"/>
    <w:rsid w:val="00D648E4"/>
    <w:rsid w:val="00D74129"/>
    <w:rsid w:val="00D7521D"/>
    <w:rsid w:val="00D7557F"/>
    <w:rsid w:val="00DA6F1A"/>
    <w:rsid w:val="00DC258C"/>
    <w:rsid w:val="00DC5683"/>
    <w:rsid w:val="00DF043B"/>
    <w:rsid w:val="00DF2594"/>
    <w:rsid w:val="00E16E4D"/>
    <w:rsid w:val="00E20250"/>
    <w:rsid w:val="00E4032B"/>
    <w:rsid w:val="00E472BD"/>
    <w:rsid w:val="00E5514B"/>
    <w:rsid w:val="00EC2716"/>
    <w:rsid w:val="00EF0E1B"/>
    <w:rsid w:val="00F30F65"/>
    <w:rsid w:val="00F32611"/>
    <w:rsid w:val="00F67502"/>
    <w:rsid w:val="00FA116F"/>
    <w:rsid w:val="00FA6C1E"/>
    <w:rsid w:val="00FB0AA1"/>
    <w:rsid w:val="00FB0C96"/>
    <w:rsid w:val="00FC04A2"/>
    <w:rsid w:val="00FC2D39"/>
    <w:rsid w:val="00FD59A4"/>
    <w:rsid w:val="00FD6BA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E472BD"/>
    <w:pPr>
      <w:ind w:left="720"/>
    </w:pPr>
    <w:rPr>
      <w:bCs w:val="0"/>
      <w:szCs w:val="20"/>
      <w:lang w:eastAsia="en-GB"/>
    </w:rPr>
  </w:style>
  <w:style w:type="paragraph" w:styleId="Revision">
    <w:name w:val="Revision"/>
    <w:hidden/>
    <w:uiPriority w:val="99"/>
    <w:semiHidden/>
    <w:rsid w:val="00CB685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83</TotalTime>
  <Pages>5</Pages>
  <Words>1361</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Alker, Craig</cp:lastModifiedBy>
  <cp:revision>27</cp:revision>
  <cp:lastPrinted>2002-06-26T11:27:00Z</cp:lastPrinted>
  <dcterms:created xsi:type="dcterms:W3CDTF">2022-11-16T18:32:00Z</dcterms:created>
  <dcterms:modified xsi:type="dcterms:W3CDTF">2023-06-20T10:49:00Z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Law and Governance</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13 July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